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81" w:rsidRPr="000A28A3" w:rsidRDefault="00B67181" w:rsidP="00B67181">
      <w:pPr>
        <w:pStyle w:val="a3"/>
        <w:ind w:firstLine="0"/>
        <w:jc w:val="center"/>
      </w:pPr>
      <w:r w:rsidRPr="000A28A3">
        <w:t xml:space="preserve">ФИЗИЧЕСКИЙ МЕТОД РАСЧЁТА НАДЁЖНОСТИ </w:t>
      </w:r>
      <w:r w:rsidRPr="000A28A3">
        <w:br/>
        <w:t>ПОЛУПРОВОДНИК</w:t>
      </w:r>
      <w:r w:rsidRPr="000A28A3">
        <w:t>О</w:t>
      </w:r>
      <w:r w:rsidRPr="000A28A3">
        <w:t>ВЫХ МИКРОСХЕМ</w:t>
      </w:r>
    </w:p>
    <w:p w:rsidR="00B67181" w:rsidRPr="000A28A3" w:rsidRDefault="00B67181" w:rsidP="00B67181">
      <w:pPr>
        <w:pStyle w:val="a3"/>
        <w:ind w:firstLine="0"/>
        <w:jc w:val="center"/>
      </w:pP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Данный метод учитывает не только количество компонентов ненадежн</w:t>
      </w:r>
      <w:r w:rsidRPr="000A28A3">
        <w:rPr>
          <w:color w:val="000000"/>
          <w:sz w:val="28"/>
          <w:szCs w:val="28"/>
        </w:rPr>
        <w:t>о</w:t>
      </w:r>
      <w:r w:rsidRPr="000A28A3">
        <w:rPr>
          <w:color w:val="000000"/>
          <w:sz w:val="28"/>
          <w:szCs w:val="28"/>
        </w:rPr>
        <w:t>сти, но и качество разработанной топологии, количество технологических операций, режим работы и эк</w:t>
      </w:r>
      <w:r w:rsidRPr="000A28A3">
        <w:rPr>
          <w:color w:val="000000"/>
          <w:sz w:val="28"/>
          <w:szCs w:val="28"/>
        </w:rPr>
        <w:t>с</w:t>
      </w:r>
      <w:r w:rsidRPr="000A28A3">
        <w:rPr>
          <w:color w:val="000000"/>
          <w:sz w:val="28"/>
          <w:szCs w:val="28"/>
        </w:rPr>
        <w:t>плуатационные воздействия.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Исходными данными для расчета надежности полупроводниковых ИМС физическим методом являются принципиальная электрическая схема, разраб</w:t>
      </w:r>
      <w:r w:rsidRPr="000A28A3">
        <w:rPr>
          <w:color w:val="000000"/>
          <w:sz w:val="28"/>
          <w:szCs w:val="28"/>
        </w:rPr>
        <w:t>о</w:t>
      </w:r>
      <w:r w:rsidRPr="000A28A3">
        <w:rPr>
          <w:color w:val="000000"/>
          <w:sz w:val="28"/>
          <w:szCs w:val="28"/>
        </w:rPr>
        <w:t>танная топология, маршрут технологического процесса и значения интенсивности отказов компонентов ненаде</w:t>
      </w:r>
      <w:r w:rsidRPr="000A28A3">
        <w:rPr>
          <w:color w:val="000000"/>
          <w:sz w:val="28"/>
          <w:szCs w:val="28"/>
        </w:rPr>
        <w:t>ж</w:t>
      </w:r>
      <w:r w:rsidRPr="000A28A3">
        <w:rPr>
          <w:color w:val="000000"/>
          <w:sz w:val="28"/>
          <w:szCs w:val="28"/>
        </w:rPr>
        <w:t>ности.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>В отличие от гибридных ИМС в полупроводниковых ИМС выделяют следующие элементы конструкции, характеризующиеся определенными значениями интенсивности отк</w:t>
      </w:r>
      <w:r w:rsidRPr="000A28A3">
        <w:rPr>
          <w:color w:val="000000"/>
          <w:sz w:val="28"/>
          <w:szCs w:val="28"/>
        </w:rPr>
        <w:t>а</w:t>
      </w:r>
      <w:r w:rsidRPr="000A28A3">
        <w:rPr>
          <w:color w:val="000000"/>
          <w:sz w:val="28"/>
          <w:szCs w:val="28"/>
        </w:rPr>
        <w:t>зов: кристалл, корпус, соединения. Однако активные и пассивные элементы полупроводниковых ИМС формируются в объеме и (или) на поверхности кристалла с помощью определенного числа технологич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>ских операций и не могут считаться самостоятельными (дискретными) при ра</w:t>
      </w:r>
      <w:r w:rsidRPr="000A28A3">
        <w:rPr>
          <w:color w:val="000000"/>
          <w:sz w:val="28"/>
          <w:szCs w:val="28"/>
        </w:rPr>
        <w:t>с</w:t>
      </w:r>
      <w:r w:rsidRPr="000A28A3">
        <w:rPr>
          <w:color w:val="000000"/>
          <w:sz w:val="28"/>
          <w:szCs w:val="28"/>
        </w:rPr>
        <w:t>чете надежности. Их надежность во многом будет зависеть от сложности те</w:t>
      </w:r>
      <w:r w:rsidRPr="000A28A3">
        <w:rPr>
          <w:color w:val="000000"/>
          <w:sz w:val="28"/>
          <w:szCs w:val="28"/>
        </w:rPr>
        <w:t>х</w:t>
      </w:r>
      <w:r w:rsidRPr="000A28A3">
        <w:rPr>
          <w:color w:val="000000"/>
          <w:sz w:val="28"/>
          <w:szCs w:val="28"/>
        </w:rPr>
        <w:t>нологического процесса. Анализ отказов полупроводниковых биполярных и МДП-ИМС позволяет выявить наиболее часто встречающиеся отказы, обусловленные различного рода д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>фектами, и определить их интенсивность. Так, для полупроводниковых ИМС, в зависим</w:t>
      </w:r>
      <w:r w:rsidRPr="000A28A3">
        <w:rPr>
          <w:color w:val="000000"/>
          <w:sz w:val="28"/>
          <w:szCs w:val="28"/>
        </w:rPr>
        <w:t>о</w:t>
      </w:r>
      <w:r w:rsidRPr="000A28A3">
        <w:rPr>
          <w:color w:val="000000"/>
          <w:sz w:val="28"/>
          <w:szCs w:val="28"/>
        </w:rPr>
        <w:t>сти от вида дефекта, установлены такие значения интенсивности отказов элементов структ</w:t>
      </w:r>
      <w:r w:rsidRPr="000A28A3">
        <w:rPr>
          <w:color w:val="000000"/>
          <w:sz w:val="28"/>
          <w:szCs w:val="28"/>
        </w:rPr>
        <w:t>у</w:t>
      </w:r>
      <w:r w:rsidRPr="000A28A3">
        <w:rPr>
          <w:color w:val="000000"/>
          <w:sz w:val="28"/>
          <w:szCs w:val="28"/>
        </w:rPr>
        <w:t>ры и конструкции: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из-за дефектов, обусловленных диффузией (для одной стадии) </w:t>
      </w:r>
      <w:r>
        <w:rPr>
          <w:noProof/>
          <w:sz w:val="28"/>
          <w:szCs w:val="28"/>
        </w:rPr>
        <w:drawing>
          <wp:inline distT="0" distB="0" distL="0" distR="0">
            <wp:extent cx="1405255" cy="250190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;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из-за дефектов металлизации (на 1 мм</w:t>
      </w:r>
      <w:proofErr w:type="gramStart"/>
      <w:r w:rsidRPr="000A28A3">
        <w:rPr>
          <w:color w:val="000000"/>
          <w:sz w:val="28"/>
          <w:szCs w:val="28"/>
          <w:vertAlign w:val="superscript"/>
        </w:rPr>
        <w:t>2</w:t>
      </w:r>
      <w:proofErr w:type="gramEnd"/>
      <w:r w:rsidRPr="000A28A3">
        <w:rPr>
          <w:color w:val="000000"/>
          <w:sz w:val="28"/>
          <w:szCs w:val="28"/>
        </w:rPr>
        <w:t xml:space="preserve"> площади) </w:t>
      </w:r>
      <w:r>
        <w:rPr>
          <w:noProof/>
          <w:sz w:val="28"/>
          <w:szCs w:val="28"/>
        </w:rPr>
        <w:drawing>
          <wp:inline distT="0" distB="0" distL="0" distR="0">
            <wp:extent cx="1308735" cy="25019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;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из-за дефектов оксида (на 1 мм</w:t>
      </w:r>
      <w:proofErr w:type="gramStart"/>
      <w:r w:rsidRPr="000A28A3">
        <w:rPr>
          <w:color w:val="000000"/>
          <w:sz w:val="28"/>
          <w:szCs w:val="28"/>
          <w:vertAlign w:val="superscript"/>
        </w:rPr>
        <w:t>2</w:t>
      </w:r>
      <w:proofErr w:type="gramEnd"/>
      <w:r w:rsidRPr="000A28A3">
        <w:rPr>
          <w:color w:val="000000"/>
          <w:sz w:val="28"/>
          <w:szCs w:val="28"/>
        </w:rPr>
        <w:t xml:space="preserve"> площади) </w:t>
      </w:r>
      <w:r>
        <w:rPr>
          <w:noProof/>
          <w:sz w:val="28"/>
          <w:szCs w:val="28"/>
        </w:rPr>
        <w:drawing>
          <wp:inline distT="0" distB="0" distL="0" distR="0">
            <wp:extent cx="1231900" cy="25019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;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из-за дефектов от посторонних включений в корпусе (на 1 мм</w:t>
      </w:r>
      <w:proofErr w:type="gramStart"/>
      <w:r w:rsidRPr="000A28A3">
        <w:rPr>
          <w:color w:val="000000"/>
          <w:sz w:val="28"/>
          <w:szCs w:val="28"/>
          <w:vertAlign w:val="superscript"/>
        </w:rPr>
        <w:t>2</w:t>
      </w:r>
      <w:proofErr w:type="gramEnd"/>
      <w:r w:rsidRPr="000A28A3">
        <w:rPr>
          <w:color w:val="000000"/>
          <w:sz w:val="28"/>
          <w:szCs w:val="28"/>
        </w:rPr>
        <w:t xml:space="preserve"> площади кристалла)</w:t>
      </w:r>
      <w:r w:rsidRPr="000A28A3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1318895" cy="25019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895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>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>из-за поверхностных и структурных дефектов кристалла (на 1 мм</w:t>
      </w:r>
      <w:proofErr w:type="gramStart"/>
      <w:r w:rsidRPr="000A28A3">
        <w:rPr>
          <w:color w:val="000000"/>
          <w:sz w:val="28"/>
          <w:szCs w:val="28"/>
          <w:vertAlign w:val="superscript"/>
        </w:rPr>
        <w:t>2</w:t>
      </w:r>
      <w:proofErr w:type="gramEnd"/>
      <w:r w:rsidRPr="000A28A3">
        <w:rPr>
          <w:color w:val="000000"/>
          <w:sz w:val="28"/>
          <w:szCs w:val="28"/>
        </w:rPr>
        <w:t xml:space="preserve"> площади кристалла)</w:t>
      </w:r>
      <w:r w:rsidRPr="000A28A3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1318895" cy="2501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895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из-за некачественного крепления кристалла </w:t>
      </w:r>
      <w:r>
        <w:rPr>
          <w:noProof/>
          <w:sz w:val="28"/>
          <w:szCs w:val="28"/>
        </w:rPr>
        <w:drawing>
          <wp:inline distT="0" distB="0" distL="0" distR="0">
            <wp:extent cx="1405255" cy="250190"/>
            <wp:effectExtent l="1905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;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из-за обрыва термокомпрессионного сварного соединения </w:t>
      </w:r>
      <w:r>
        <w:rPr>
          <w:noProof/>
          <w:sz w:val="28"/>
          <w:szCs w:val="28"/>
        </w:rPr>
        <w:drawing>
          <wp:inline distT="0" distB="0" distL="0" distR="0">
            <wp:extent cx="1261110" cy="25019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из-за повреждения корпуса </w:t>
      </w:r>
      <w:r>
        <w:rPr>
          <w:noProof/>
          <w:sz w:val="28"/>
          <w:szCs w:val="28"/>
        </w:rPr>
        <w:drawing>
          <wp:inline distT="0" distB="0" distL="0" distR="0">
            <wp:extent cx="1183640" cy="2501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(для пластмассового корпуса) и </w:t>
      </w:r>
      <w:r>
        <w:rPr>
          <w:noProof/>
          <w:sz w:val="28"/>
          <w:szCs w:val="28"/>
        </w:rPr>
        <w:drawing>
          <wp:inline distT="0" distB="0" distL="0" distR="0">
            <wp:extent cx="1164590" cy="25019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25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(для металлокерамического корпуса).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По этим значениям можно определить интенсивности отказов активных и пассивных элементов и элементов конструкции полупроводниковых ИМС с учетом стадийности диффузионных или других высокотемпературных процессов, реальных площадей элементов, м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>таллизации и кристалла.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  <w:r w:rsidRPr="000A28A3">
        <w:rPr>
          <w:color w:val="000000"/>
          <w:sz w:val="28"/>
          <w:szCs w:val="28"/>
        </w:rPr>
        <w:lastRenderedPageBreak/>
        <w:t>Поэтому в качестве компонентов ненадежности используют элементы структуры и конструкции полупроводниковой ИМС, значения интенсивностей отказов которых определяю</w:t>
      </w:r>
      <w:r w:rsidRPr="000A28A3">
        <w:rPr>
          <w:color w:val="000000"/>
          <w:sz w:val="28"/>
          <w:szCs w:val="28"/>
        </w:rPr>
        <w:t>т</w:t>
      </w:r>
      <w:r w:rsidRPr="000A28A3">
        <w:rPr>
          <w:color w:val="000000"/>
          <w:sz w:val="28"/>
          <w:szCs w:val="28"/>
        </w:rPr>
        <w:t>ся выражениями: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</w:p>
    <w:tbl>
      <w:tblPr>
        <w:tblW w:w="3708" w:type="pct"/>
        <w:tblInd w:w="1806" w:type="dxa"/>
        <w:tblLook w:val="01E0"/>
      </w:tblPr>
      <w:tblGrid>
        <w:gridCol w:w="5748"/>
        <w:gridCol w:w="1350"/>
      </w:tblGrid>
      <w:tr w:rsidR="00B67181" w:rsidRPr="000A28A3" w:rsidTr="00C54BB8">
        <w:trPr>
          <w:trHeight w:val="612"/>
        </w:trPr>
        <w:tc>
          <w:tcPr>
            <w:tcW w:w="4049" w:type="pct"/>
            <w:vAlign w:val="center"/>
          </w:tcPr>
          <w:p w:rsidR="00B67181" w:rsidRPr="000A28A3" w:rsidRDefault="00B67181" w:rsidP="00C54BB8">
            <w:pPr>
              <w:pStyle w:val="a5"/>
              <w:ind w:firstLine="56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992630" cy="269240"/>
                  <wp:effectExtent l="19050" t="0" r="762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63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pct"/>
            <w:vAlign w:val="center"/>
          </w:tcPr>
          <w:p w:rsidR="00B67181" w:rsidRPr="000A28A3" w:rsidRDefault="00B67181" w:rsidP="00C54BB8">
            <w:pPr>
              <w:pStyle w:val="a5"/>
              <w:ind w:firstLine="567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67181" w:rsidRPr="000A28A3" w:rsidTr="00C54BB8">
        <w:trPr>
          <w:trHeight w:val="612"/>
        </w:trPr>
        <w:tc>
          <w:tcPr>
            <w:tcW w:w="4049" w:type="pct"/>
          </w:tcPr>
          <w:p w:rsidR="00B67181" w:rsidRPr="000A28A3" w:rsidRDefault="00B67181" w:rsidP="00C54BB8">
            <w:pPr>
              <w:pStyle w:val="a5"/>
              <w:ind w:firstLine="56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261870" cy="250190"/>
                  <wp:effectExtent l="1905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1870" cy="25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pct"/>
          </w:tcPr>
          <w:p w:rsidR="00B67181" w:rsidRPr="000A28A3" w:rsidRDefault="00B67181" w:rsidP="00C54BB8">
            <w:pPr>
              <w:pStyle w:val="a5"/>
              <w:ind w:firstLine="567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B67181" w:rsidRPr="000A28A3" w:rsidTr="00C54BB8">
        <w:trPr>
          <w:trHeight w:val="612"/>
        </w:trPr>
        <w:tc>
          <w:tcPr>
            <w:tcW w:w="4049" w:type="pct"/>
          </w:tcPr>
          <w:p w:rsidR="00B67181" w:rsidRPr="000A28A3" w:rsidRDefault="00B67181" w:rsidP="00C54BB8">
            <w:pPr>
              <w:pStyle w:val="a5"/>
              <w:ind w:firstLine="56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002155" cy="317500"/>
                  <wp:effectExtent l="1905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215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1" w:type="pct"/>
          </w:tcPr>
          <w:p w:rsidR="00B67181" w:rsidRPr="000A28A3" w:rsidRDefault="00B67181" w:rsidP="00C54BB8">
            <w:pPr>
              <w:pStyle w:val="a5"/>
              <w:ind w:firstLine="567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где </w:t>
      </w:r>
      <w:r>
        <w:rPr>
          <w:noProof/>
          <w:sz w:val="28"/>
          <w:szCs w:val="28"/>
        </w:rPr>
        <w:drawing>
          <wp:inline distT="0" distB="0" distL="0" distR="0">
            <wp:extent cx="269240" cy="23114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, </w:t>
      </w:r>
      <w:r>
        <w:rPr>
          <w:noProof/>
          <w:sz w:val="28"/>
          <w:szCs w:val="28"/>
        </w:rPr>
        <w:drawing>
          <wp:inline distT="0" distB="0" distL="0" distR="0">
            <wp:extent cx="317500" cy="211455"/>
            <wp:effectExtent l="0" t="0" r="635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, </w:t>
      </w:r>
      <w:r>
        <w:rPr>
          <w:noProof/>
          <w:sz w:val="28"/>
          <w:szCs w:val="28"/>
        </w:rPr>
        <w:drawing>
          <wp:inline distT="0" distB="0" distL="0" distR="0">
            <wp:extent cx="250190" cy="21145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— интенсивности отказов элементов (транзистора, диода, диффузионного резистора, диффузионной перемычки или шины), металлиз</w:t>
      </w:r>
      <w:r w:rsidRPr="000A28A3">
        <w:rPr>
          <w:color w:val="000000"/>
          <w:sz w:val="28"/>
          <w:szCs w:val="28"/>
        </w:rPr>
        <w:t>а</w:t>
      </w:r>
      <w:r w:rsidRPr="000A28A3">
        <w:rPr>
          <w:color w:val="000000"/>
          <w:sz w:val="28"/>
          <w:szCs w:val="28"/>
        </w:rPr>
        <w:t xml:space="preserve">ции и кристалла соответственно; </w:t>
      </w:r>
      <w:r>
        <w:rPr>
          <w:noProof/>
          <w:sz w:val="28"/>
          <w:szCs w:val="28"/>
        </w:rPr>
        <w:drawing>
          <wp:inline distT="0" distB="0" distL="0" distR="0">
            <wp:extent cx="365760" cy="24066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— число стадий диффузии при форм</w:t>
      </w:r>
      <w:r w:rsidRPr="000A28A3">
        <w:rPr>
          <w:color w:val="000000"/>
          <w:sz w:val="28"/>
          <w:szCs w:val="28"/>
        </w:rPr>
        <w:t>и</w:t>
      </w:r>
      <w:r w:rsidRPr="000A28A3">
        <w:rPr>
          <w:color w:val="000000"/>
          <w:sz w:val="28"/>
          <w:szCs w:val="28"/>
        </w:rPr>
        <w:t xml:space="preserve">ровании того или иного элемента; </w:t>
      </w:r>
      <w:r>
        <w:rPr>
          <w:noProof/>
          <w:sz w:val="28"/>
          <w:szCs w:val="28"/>
        </w:rPr>
        <w:drawing>
          <wp:inline distT="0" distB="0" distL="0" distR="0">
            <wp:extent cx="269240" cy="231140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, </w:t>
      </w:r>
      <w:r>
        <w:rPr>
          <w:noProof/>
          <w:sz w:val="28"/>
          <w:szCs w:val="28"/>
        </w:rPr>
        <w:drawing>
          <wp:inline distT="0" distB="0" distL="0" distR="0">
            <wp:extent cx="327025" cy="21145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, </w:t>
      </w:r>
      <w:r>
        <w:rPr>
          <w:noProof/>
          <w:sz w:val="28"/>
          <w:szCs w:val="28"/>
        </w:rPr>
        <w:drawing>
          <wp:inline distT="0" distB="0" distL="0" distR="0">
            <wp:extent cx="250190" cy="21145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— площади (в мм</w:t>
      </w:r>
      <w:proofErr w:type="gramStart"/>
      <w:r w:rsidRPr="000A28A3">
        <w:rPr>
          <w:color w:val="000000"/>
          <w:sz w:val="28"/>
          <w:szCs w:val="28"/>
          <w:vertAlign w:val="superscript"/>
        </w:rPr>
        <w:t>2</w:t>
      </w:r>
      <w:proofErr w:type="gramEnd"/>
      <w:r w:rsidRPr="000A28A3">
        <w:rPr>
          <w:color w:val="000000"/>
          <w:sz w:val="28"/>
          <w:szCs w:val="28"/>
        </w:rPr>
        <w:t>) элемента, металлизации и кристалла соответственно.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К компонентам ненадежности относится также корпус и соединения, характеризующиеся значениями </w:t>
      </w:r>
      <w:r>
        <w:rPr>
          <w:noProof/>
          <w:sz w:val="28"/>
          <w:szCs w:val="28"/>
        </w:rPr>
        <w:drawing>
          <wp:inline distT="0" distB="0" distL="0" distR="0">
            <wp:extent cx="201930" cy="211455"/>
            <wp:effectExtent l="0" t="0" r="762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и </w:t>
      </w:r>
      <w:r>
        <w:rPr>
          <w:noProof/>
          <w:sz w:val="28"/>
          <w:szCs w:val="28"/>
        </w:rPr>
        <w:drawing>
          <wp:inline distT="0" distB="0" distL="0" distR="0">
            <wp:extent cx="356235" cy="240665"/>
            <wp:effectExtent l="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. Только после такого определения ра</w:t>
      </w:r>
      <w:r w:rsidRPr="000A28A3">
        <w:rPr>
          <w:color w:val="000000"/>
          <w:sz w:val="28"/>
          <w:szCs w:val="28"/>
        </w:rPr>
        <w:t>с</w:t>
      </w:r>
      <w:r w:rsidRPr="000A28A3">
        <w:rPr>
          <w:color w:val="000000"/>
          <w:sz w:val="28"/>
          <w:szCs w:val="28"/>
        </w:rPr>
        <w:t>чет можно свести, как и в случае гибридных ИМС, к суммированию интенси</w:t>
      </w:r>
      <w:r w:rsidRPr="000A28A3">
        <w:rPr>
          <w:color w:val="000000"/>
          <w:sz w:val="28"/>
          <w:szCs w:val="28"/>
        </w:rPr>
        <w:t>в</w:t>
      </w:r>
      <w:r w:rsidRPr="000A28A3">
        <w:rPr>
          <w:color w:val="000000"/>
          <w:sz w:val="28"/>
          <w:szCs w:val="28"/>
        </w:rPr>
        <w:t>ностей отказов отдельных компонентов ненадежности с учетом поправочных коэффициентов на величину электрической нагрузки и состояние окружающей среды.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  <w:r w:rsidRPr="000A28A3">
        <w:rPr>
          <w:color w:val="000000"/>
          <w:sz w:val="28"/>
          <w:szCs w:val="28"/>
        </w:rPr>
        <w:t xml:space="preserve">В данном случае интенсивность отказов </w:t>
      </w:r>
      <w:r>
        <w:rPr>
          <w:noProof/>
          <w:sz w:val="28"/>
          <w:szCs w:val="28"/>
        </w:rPr>
        <w:drawing>
          <wp:inline distT="0" distB="0" distL="0" distR="0">
            <wp:extent cx="192405" cy="23114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полупроводниковых ИМС с учетом того, что время появления внезапных отказов распределено по экспоненциальному закону, опр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>деляется выражением</w:t>
      </w:r>
    </w:p>
    <w:tbl>
      <w:tblPr>
        <w:tblW w:w="3623" w:type="pct"/>
        <w:jc w:val="center"/>
        <w:tblInd w:w="828" w:type="dxa"/>
        <w:tblLook w:val="01E0"/>
      </w:tblPr>
      <w:tblGrid>
        <w:gridCol w:w="5868"/>
        <w:gridCol w:w="1067"/>
      </w:tblGrid>
      <w:tr w:rsidR="00B67181" w:rsidRPr="000A28A3" w:rsidTr="00C54BB8">
        <w:trPr>
          <w:trHeight w:val="612"/>
          <w:jc w:val="center"/>
        </w:trPr>
        <w:tc>
          <w:tcPr>
            <w:tcW w:w="4231" w:type="pct"/>
            <w:vAlign w:val="center"/>
          </w:tcPr>
          <w:p w:rsidR="00B67181" w:rsidRPr="000A28A3" w:rsidRDefault="00B67181" w:rsidP="00C54BB8">
            <w:pPr>
              <w:pStyle w:val="a5"/>
              <w:ind w:firstLine="56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>
                  <wp:extent cx="1039495" cy="433070"/>
                  <wp:effectExtent l="1905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9495" cy="433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" w:type="pct"/>
            <w:vAlign w:val="center"/>
          </w:tcPr>
          <w:p w:rsidR="00B67181" w:rsidRPr="000A28A3" w:rsidRDefault="00B67181" w:rsidP="00C54BB8">
            <w:pPr>
              <w:pStyle w:val="a5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  <w:r w:rsidRPr="000A28A3">
        <w:rPr>
          <w:color w:val="000000"/>
          <w:sz w:val="28"/>
          <w:szCs w:val="28"/>
        </w:rPr>
        <w:t>где т — число групп элементов;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  <w:proofErr w:type="spellStart"/>
      <w:proofErr w:type="gramStart"/>
      <w:r w:rsidRPr="000A28A3">
        <w:rPr>
          <w:color w:val="000000"/>
          <w:sz w:val="28"/>
          <w:szCs w:val="28"/>
          <w:lang w:val="en-US"/>
        </w:rPr>
        <w:t>n</w:t>
      </w:r>
      <w:r w:rsidRPr="000A28A3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0A28A3">
        <w:rPr>
          <w:color w:val="000000"/>
          <w:sz w:val="28"/>
          <w:szCs w:val="28"/>
        </w:rPr>
        <w:t xml:space="preserve"> — число элементов данного типа с одинаковым режимом работы;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noProof/>
          <w:sz w:val="28"/>
          <w:szCs w:val="28"/>
        </w:rPr>
        <w:drawing>
          <wp:inline distT="0" distB="0" distL="0" distR="0">
            <wp:extent cx="173355" cy="23114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— поправочный коэффициент, учитывающий влияние окружающей температуры и электрической нагрузки;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noProof/>
          <w:sz w:val="28"/>
          <w:szCs w:val="28"/>
        </w:rPr>
        <w:drawing>
          <wp:inline distT="0" distB="0" distL="0" distR="0">
            <wp:extent cx="673735" cy="23114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 xml:space="preserve"> </w:t>
      </w:r>
      <w:r w:rsidRPr="000A28A3">
        <w:rPr>
          <w:color w:val="000000"/>
          <w:sz w:val="28"/>
          <w:szCs w:val="28"/>
        </w:rPr>
        <w:t>— поправочный коэффициент, учитывающий механические во</w:t>
      </w:r>
      <w:r w:rsidRPr="000A28A3">
        <w:rPr>
          <w:color w:val="000000"/>
          <w:sz w:val="28"/>
          <w:szCs w:val="28"/>
        </w:rPr>
        <w:t>з</w:t>
      </w:r>
      <w:r w:rsidRPr="000A28A3">
        <w:rPr>
          <w:color w:val="000000"/>
          <w:sz w:val="28"/>
          <w:szCs w:val="28"/>
        </w:rPr>
        <w:t>действия, относительную влажность и изменение атмосферного давления;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4305" cy="23114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</w:t>
      </w:r>
      <w:proofErr w:type="gramStart"/>
      <w:r w:rsidRPr="000A28A3">
        <w:rPr>
          <w:color w:val="000000"/>
          <w:sz w:val="28"/>
          <w:szCs w:val="28"/>
        </w:rPr>
        <w:t>— интенсивность отказов элементов структуры (транзисторов, диодов, резисторов), металлизации, кристалла и конструкции (соединений, корпуса).</w:t>
      </w:r>
      <w:proofErr w:type="gramEnd"/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Порядок расчета надежности полупроводниковых ИМС по внезапным отказам физич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>ским методом следующий.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>По заданной принципиальной электрической схеме и разработанной топологии опред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 xml:space="preserve">ляют число </w:t>
      </w:r>
      <w:proofErr w:type="spellStart"/>
      <w:r w:rsidRPr="000A28A3">
        <w:rPr>
          <w:color w:val="000000"/>
          <w:sz w:val="28"/>
          <w:szCs w:val="28"/>
          <w:lang w:val="en-US"/>
        </w:rPr>
        <w:t>n</w:t>
      </w:r>
      <w:r w:rsidRPr="000A28A3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0A28A3">
        <w:rPr>
          <w:color w:val="000000"/>
          <w:sz w:val="28"/>
          <w:szCs w:val="28"/>
        </w:rPr>
        <w:t xml:space="preserve"> структурных элементов каждого типа и число т, </w:t>
      </w:r>
      <w:r w:rsidRPr="000A28A3">
        <w:rPr>
          <w:color w:val="000000"/>
          <w:sz w:val="28"/>
          <w:szCs w:val="28"/>
          <w:lang w:val="en-US"/>
        </w:rPr>
        <w:t>m</w:t>
      </w:r>
      <w:r w:rsidRPr="000A28A3">
        <w:rPr>
          <w:color w:val="000000"/>
          <w:sz w:val="28"/>
          <w:szCs w:val="28"/>
          <w:vertAlign w:val="subscript"/>
          <w:lang w:val="en-US"/>
        </w:rPr>
        <w:t>i</w:t>
      </w:r>
      <w:r w:rsidRPr="000A28A3">
        <w:rPr>
          <w:color w:val="000000"/>
          <w:sz w:val="28"/>
          <w:szCs w:val="28"/>
        </w:rPr>
        <w:t xml:space="preserve"> типов элементов.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lastRenderedPageBreak/>
        <w:t>По топологии и маршрутной карте технологического процесса изготовл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 xml:space="preserve">ния полупроводниковой ИМС определяют число диффузий </w:t>
      </w:r>
      <w:r>
        <w:rPr>
          <w:noProof/>
          <w:sz w:val="28"/>
          <w:szCs w:val="28"/>
        </w:rPr>
        <w:drawing>
          <wp:inline distT="0" distB="0" distL="0" distR="0">
            <wp:extent cx="365760" cy="24066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для изготовления структурных элеме</w:t>
      </w:r>
      <w:r w:rsidRPr="000A28A3">
        <w:rPr>
          <w:color w:val="000000"/>
          <w:sz w:val="28"/>
          <w:szCs w:val="28"/>
        </w:rPr>
        <w:t>н</w:t>
      </w:r>
      <w:r w:rsidRPr="000A28A3">
        <w:rPr>
          <w:color w:val="000000"/>
          <w:sz w:val="28"/>
          <w:szCs w:val="28"/>
        </w:rPr>
        <w:t>тов каждого типа.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По топологии определяют площади структурных элементов каждого типа </w:t>
      </w:r>
      <w:r>
        <w:rPr>
          <w:noProof/>
          <w:sz w:val="28"/>
          <w:szCs w:val="28"/>
        </w:rPr>
        <w:drawing>
          <wp:inline distT="0" distB="0" distL="0" distR="0">
            <wp:extent cx="269240" cy="23114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, </w:t>
      </w:r>
      <w:r>
        <w:rPr>
          <w:noProof/>
          <w:sz w:val="28"/>
          <w:szCs w:val="28"/>
        </w:rPr>
        <w:drawing>
          <wp:inline distT="0" distB="0" distL="0" distR="0">
            <wp:extent cx="327025" cy="21145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и площадь кристалла </w:t>
      </w:r>
      <w:r>
        <w:rPr>
          <w:noProof/>
          <w:sz w:val="28"/>
          <w:szCs w:val="28"/>
        </w:rPr>
        <w:drawing>
          <wp:inline distT="0" distB="0" distL="0" distR="0">
            <wp:extent cx="250190" cy="211455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>.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Используя данные по интенсивностям отказов элементов структуры и конструкции, по выражениям (4) — (6) определяют значения </w:t>
      </w:r>
      <w:r>
        <w:rPr>
          <w:noProof/>
          <w:sz w:val="28"/>
          <w:szCs w:val="28"/>
        </w:rPr>
        <w:drawing>
          <wp:inline distT="0" distB="0" distL="0" distR="0">
            <wp:extent cx="154305" cy="23114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для элементов к</w:t>
      </w:r>
      <w:r w:rsidRPr="000A28A3">
        <w:rPr>
          <w:color w:val="000000"/>
          <w:sz w:val="28"/>
          <w:szCs w:val="28"/>
        </w:rPr>
        <w:t>а</w:t>
      </w:r>
      <w:r w:rsidRPr="000A28A3">
        <w:rPr>
          <w:color w:val="000000"/>
          <w:sz w:val="28"/>
          <w:szCs w:val="28"/>
        </w:rPr>
        <w:t>ждого типа.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>По заданным электрическим параметрам и принципиальной электрической схеме пр</w:t>
      </w:r>
      <w:r w:rsidRPr="000A28A3">
        <w:rPr>
          <w:color w:val="000000"/>
          <w:sz w:val="28"/>
          <w:szCs w:val="28"/>
        </w:rPr>
        <w:t>о</w:t>
      </w:r>
      <w:r w:rsidRPr="000A28A3">
        <w:rPr>
          <w:color w:val="000000"/>
          <w:sz w:val="28"/>
          <w:szCs w:val="28"/>
        </w:rPr>
        <w:t xml:space="preserve">изводят расчет электрического режима и определяют коэффициенты нагрузки </w:t>
      </w:r>
      <w:proofErr w:type="spellStart"/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  <w:lang w:val="en-US"/>
        </w:rPr>
        <w:t>Hi</w:t>
      </w:r>
      <w:proofErr w:type="spellEnd"/>
      <w:r w:rsidRPr="000A28A3">
        <w:rPr>
          <w:color w:val="000000"/>
          <w:sz w:val="28"/>
          <w:szCs w:val="28"/>
        </w:rPr>
        <w:t xml:space="preserve"> для акти</w:t>
      </w:r>
      <w:r w:rsidRPr="000A28A3">
        <w:rPr>
          <w:color w:val="000000"/>
          <w:sz w:val="28"/>
          <w:szCs w:val="28"/>
        </w:rPr>
        <w:t>в</w:t>
      </w:r>
      <w:r w:rsidRPr="000A28A3">
        <w:rPr>
          <w:color w:val="000000"/>
          <w:sz w:val="28"/>
          <w:szCs w:val="28"/>
        </w:rPr>
        <w:t xml:space="preserve">ных и пассивных элементов (как при расчете гибридных ИМС). Коэффициент нагрузки </w:t>
      </w:r>
      <w:proofErr w:type="gramStart"/>
      <w:r w:rsidRPr="000A28A3">
        <w:rPr>
          <w:color w:val="000000"/>
          <w:sz w:val="28"/>
          <w:szCs w:val="28"/>
          <w:lang w:val="en-US"/>
        </w:rPr>
        <w:t>k</w:t>
      </w:r>
      <w:proofErr w:type="gramEnd"/>
      <w:r w:rsidRPr="000A28A3">
        <w:rPr>
          <w:color w:val="000000"/>
          <w:sz w:val="28"/>
          <w:szCs w:val="28"/>
          <w:vertAlign w:val="subscript"/>
        </w:rPr>
        <w:t>НМ</w:t>
      </w:r>
      <w:proofErr w:type="spellStart"/>
      <w:r w:rsidRPr="000A28A3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0A28A3">
        <w:rPr>
          <w:color w:val="000000"/>
          <w:sz w:val="28"/>
          <w:szCs w:val="28"/>
        </w:rPr>
        <w:t xml:space="preserve"> наиболее нагруженных проводников мета</w:t>
      </w:r>
      <w:r w:rsidRPr="000A28A3">
        <w:rPr>
          <w:color w:val="000000"/>
          <w:sz w:val="28"/>
          <w:szCs w:val="28"/>
        </w:rPr>
        <w:t>л</w:t>
      </w:r>
      <w:r w:rsidRPr="000A28A3">
        <w:rPr>
          <w:color w:val="000000"/>
          <w:sz w:val="28"/>
          <w:szCs w:val="28"/>
        </w:rPr>
        <w:t>лизации (шины питания, сигнальные выходные шины и др.) определяют из в</w:t>
      </w:r>
      <w:r w:rsidRPr="000A28A3">
        <w:rPr>
          <w:color w:val="000000"/>
          <w:sz w:val="28"/>
          <w:szCs w:val="28"/>
        </w:rPr>
        <w:t>ы</w:t>
      </w:r>
      <w:r w:rsidRPr="000A28A3">
        <w:rPr>
          <w:color w:val="000000"/>
          <w:sz w:val="28"/>
          <w:szCs w:val="28"/>
        </w:rPr>
        <w:t>ражения</w:t>
      </w:r>
    </w:p>
    <w:tbl>
      <w:tblPr>
        <w:tblW w:w="3680" w:type="pct"/>
        <w:tblInd w:w="1428" w:type="dxa"/>
        <w:tblLook w:val="01E0"/>
      </w:tblPr>
      <w:tblGrid>
        <w:gridCol w:w="5987"/>
        <w:gridCol w:w="1057"/>
      </w:tblGrid>
      <w:tr w:rsidR="00B67181" w:rsidRPr="000A28A3" w:rsidTr="00C54BB8">
        <w:tc>
          <w:tcPr>
            <w:tcW w:w="4250" w:type="pct"/>
            <w:vAlign w:val="center"/>
          </w:tcPr>
          <w:p w:rsidR="00B67181" w:rsidRPr="000A28A3" w:rsidRDefault="00B67181" w:rsidP="00C54BB8">
            <w:pPr>
              <w:pStyle w:val="a5"/>
              <w:ind w:firstLine="56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021205" cy="240665"/>
                  <wp:effectExtent l="1905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1205" cy="240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pct"/>
            <w:vAlign w:val="center"/>
          </w:tcPr>
          <w:p w:rsidR="00B67181" w:rsidRPr="000A28A3" w:rsidRDefault="00B67181" w:rsidP="00C54BB8">
            <w:pPr>
              <w:pStyle w:val="a5"/>
              <w:ind w:firstLine="567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где </w:t>
      </w:r>
      <w:r>
        <w:rPr>
          <w:noProof/>
          <w:sz w:val="28"/>
          <w:szCs w:val="28"/>
        </w:rPr>
        <w:drawing>
          <wp:inline distT="0" distB="0" distL="0" distR="0">
            <wp:extent cx="211455" cy="23114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 xml:space="preserve"> </w:t>
      </w:r>
      <w:r w:rsidRPr="000A28A3">
        <w:rPr>
          <w:color w:val="000000"/>
          <w:sz w:val="28"/>
          <w:szCs w:val="28"/>
        </w:rPr>
        <w:t xml:space="preserve">— ток через </w:t>
      </w:r>
      <w:proofErr w:type="spellStart"/>
      <w:r w:rsidRPr="000A28A3">
        <w:rPr>
          <w:color w:val="000000"/>
          <w:sz w:val="28"/>
          <w:szCs w:val="28"/>
          <w:lang w:val="en-US"/>
        </w:rPr>
        <w:t>i</w:t>
      </w:r>
      <w:proofErr w:type="spellEnd"/>
      <w:r w:rsidRPr="000A28A3">
        <w:rPr>
          <w:color w:val="000000"/>
          <w:sz w:val="28"/>
          <w:szCs w:val="28"/>
        </w:rPr>
        <w:t>-</w:t>
      </w:r>
      <w:proofErr w:type="spellStart"/>
      <w:r w:rsidRPr="000A28A3">
        <w:rPr>
          <w:color w:val="000000"/>
          <w:sz w:val="28"/>
          <w:szCs w:val="28"/>
        </w:rPr>
        <w:t>й</w:t>
      </w:r>
      <w:proofErr w:type="spellEnd"/>
      <w:r w:rsidRPr="000A28A3">
        <w:rPr>
          <w:color w:val="000000"/>
          <w:sz w:val="28"/>
          <w:szCs w:val="28"/>
        </w:rPr>
        <w:t xml:space="preserve"> проводник металлизации;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1930" cy="211455"/>
            <wp:effectExtent l="0" t="0" r="762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и </w:t>
      </w:r>
      <w:r>
        <w:rPr>
          <w:noProof/>
          <w:sz w:val="28"/>
          <w:szCs w:val="28"/>
        </w:rPr>
        <w:drawing>
          <wp:inline distT="0" distB="0" distL="0" distR="0">
            <wp:extent cx="173355" cy="21145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— </w:t>
      </w:r>
      <w:proofErr w:type="gramStart"/>
      <w:r w:rsidRPr="000A28A3">
        <w:rPr>
          <w:color w:val="000000"/>
          <w:sz w:val="28"/>
          <w:szCs w:val="28"/>
        </w:rPr>
        <w:t>ширина</w:t>
      </w:r>
      <w:proofErr w:type="gramEnd"/>
      <w:r w:rsidRPr="000A28A3">
        <w:rPr>
          <w:color w:val="000000"/>
          <w:sz w:val="28"/>
          <w:szCs w:val="28"/>
        </w:rPr>
        <w:t xml:space="preserve"> и толщина проводника металлизации;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346710" cy="24066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— допу</w:t>
      </w:r>
      <w:r w:rsidRPr="000A28A3">
        <w:rPr>
          <w:color w:val="000000"/>
          <w:sz w:val="28"/>
          <w:szCs w:val="28"/>
        </w:rPr>
        <w:t>с</w:t>
      </w:r>
      <w:r w:rsidRPr="000A28A3">
        <w:rPr>
          <w:color w:val="000000"/>
          <w:sz w:val="28"/>
          <w:szCs w:val="28"/>
        </w:rPr>
        <w:t>тимая плотность тока через проводник металлизации.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Для заданной температуры и рассчитанных значений </w:t>
      </w:r>
      <w:r w:rsidRPr="000A28A3">
        <w:rPr>
          <w:color w:val="000000"/>
          <w:sz w:val="28"/>
          <w:szCs w:val="28"/>
          <w:lang w:val="en-US"/>
        </w:rPr>
        <w:t>k</w:t>
      </w:r>
      <w:proofErr w:type="spellStart"/>
      <w:r w:rsidRPr="000A28A3">
        <w:rPr>
          <w:color w:val="000000"/>
          <w:sz w:val="28"/>
          <w:szCs w:val="28"/>
          <w:vertAlign w:val="subscript"/>
        </w:rPr>
        <w:t>н</w:t>
      </w:r>
      <w:r w:rsidRPr="000A28A3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0A28A3">
        <w:rPr>
          <w:color w:val="000000"/>
          <w:sz w:val="28"/>
          <w:szCs w:val="28"/>
        </w:rPr>
        <w:t xml:space="preserve"> по графикам опред</w:t>
      </w:r>
      <w:r w:rsidRPr="000A28A3">
        <w:rPr>
          <w:color w:val="000000"/>
          <w:sz w:val="28"/>
          <w:szCs w:val="28"/>
        </w:rPr>
        <w:t>е</w:t>
      </w:r>
      <w:r w:rsidRPr="000A28A3">
        <w:rPr>
          <w:color w:val="000000"/>
          <w:sz w:val="28"/>
          <w:szCs w:val="28"/>
        </w:rPr>
        <w:t>ляют значения поправочных коэффициентов</w:t>
      </w:r>
      <w:proofErr w:type="gramStart"/>
      <w:r w:rsidRPr="000A28A3">
        <w:rPr>
          <w:color w:val="000000"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163830" cy="231140"/>
            <wp:effectExtent l="0" t="0" r="762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>(</w:t>
      </w:r>
      <w:r>
        <w:rPr>
          <w:noProof/>
          <w:sz w:val="28"/>
          <w:szCs w:val="28"/>
        </w:rPr>
        <w:drawing>
          <wp:inline distT="0" distB="0" distL="0" distR="0">
            <wp:extent cx="201930" cy="21145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>,</w:t>
      </w:r>
      <w:r>
        <w:rPr>
          <w:noProof/>
          <w:sz w:val="28"/>
          <w:szCs w:val="28"/>
        </w:rPr>
        <w:drawing>
          <wp:inline distT="0" distB="0" distL="0" distR="0">
            <wp:extent cx="231140" cy="24066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>,</w:t>
      </w:r>
      <w:r>
        <w:rPr>
          <w:noProof/>
          <w:sz w:val="28"/>
          <w:szCs w:val="28"/>
        </w:rPr>
        <w:drawing>
          <wp:inline distT="0" distB="0" distL="0" distR="0">
            <wp:extent cx="201930" cy="211455"/>
            <wp:effectExtent l="0" t="0" r="762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 xml:space="preserve"> </w:t>
      </w:r>
      <w:proofErr w:type="gramEnd"/>
      <w:r w:rsidRPr="000A28A3">
        <w:rPr>
          <w:sz w:val="28"/>
          <w:szCs w:val="28"/>
        </w:rPr>
        <w:t xml:space="preserve">и </w:t>
      </w:r>
      <w:r>
        <w:rPr>
          <w:noProof/>
          <w:sz w:val="28"/>
          <w:szCs w:val="28"/>
        </w:rPr>
        <w:drawing>
          <wp:inline distT="0" distB="0" distL="0" distR="0">
            <wp:extent cx="327025" cy="21145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" cy="21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sz w:val="28"/>
          <w:szCs w:val="28"/>
        </w:rPr>
        <w:t>)</w:t>
      </w:r>
      <w:r w:rsidRPr="000A28A3">
        <w:rPr>
          <w:color w:val="000000"/>
          <w:sz w:val="28"/>
          <w:szCs w:val="28"/>
        </w:rPr>
        <w:t>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>По заданным условиям эксплуатации выбирают поправочные коэффиц</w:t>
      </w:r>
      <w:r w:rsidRPr="000A28A3">
        <w:rPr>
          <w:color w:val="000000"/>
          <w:sz w:val="28"/>
          <w:szCs w:val="28"/>
        </w:rPr>
        <w:t>и</w:t>
      </w:r>
      <w:r w:rsidRPr="000A28A3">
        <w:rPr>
          <w:color w:val="000000"/>
          <w:sz w:val="28"/>
          <w:szCs w:val="28"/>
        </w:rPr>
        <w:t xml:space="preserve">енты </w:t>
      </w:r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</w:rPr>
        <w:t>1</w:t>
      </w:r>
      <w:r w:rsidRPr="000A28A3">
        <w:rPr>
          <w:color w:val="000000"/>
          <w:sz w:val="28"/>
          <w:szCs w:val="28"/>
        </w:rPr>
        <w:t xml:space="preserve"> </w:t>
      </w:r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</w:rPr>
        <w:t>2</w:t>
      </w:r>
      <w:r w:rsidRPr="000A28A3">
        <w:rPr>
          <w:color w:val="000000"/>
          <w:sz w:val="28"/>
          <w:szCs w:val="28"/>
        </w:rPr>
        <w:t xml:space="preserve">, и определяют </w:t>
      </w:r>
      <w:proofErr w:type="spellStart"/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0A28A3">
        <w:rPr>
          <w:color w:val="000000"/>
          <w:sz w:val="28"/>
          <w:szCs w:val="28"/>
        </w:rPr>
        <w:t xml:space="preserve"> = </w:t>
      </w:r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</w:rPr>
        <w:t>1</w:t>
      </w:r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</w:rPr>
        <w:t>2</w:t>
      </w:r>
      <w:r w:rsidRPr="000A28A3">
        <w:rPr>
          <w:color w:val="000000"/>
          <w:sz w:val="28"/>
          <w:szCs w:val="28"/>
          <w:lang w:val="en-US"/>
        </w:rPr>
        <w:t>k</w:t>
      </w:r>
      <w:r w:rsidRPr="000A28A3">
        <w:rPr>
          <w:color w:val="000000"/>
          <w:sz w:val="28"/>
          <w:szCs w:val="28"/>
          <w:vertAlign w:val="subscript"/>
        </w:rPr>
        <w:t>3</w:t>
      </w:r>
      <w:r w:rsidRPr="000A28A3">
        <w:rPr>
          <w:color w:val="000000"/>
          <w:sz w:val="28"/>
          <w:szCs w:val="28"/>
        </w:rPr>
        <w:t>.</w:t>
      </w:r>
    </w:p>
    <w:p w:rsidR="00B67181" w:rsidRPr="000A28A3" w:rsidRDefault="00B67181" w:rsidP="00B67181">
      <w:pPr>
        <w:pStyle w:val="a5"/>
        <w:ind w:firstLine="567"/>
        <w:jc w:val="both"/>
        <w:rPr>
          <w:sz w:val="28"/>
          <w:szCs w:val="28"/>
        </w:rPr>
      </w:pPr>
      <w:r w:rsidRPr="000A28A3">
        <w:rPr>
          <w:color w:val="000000"/>
          <w:sz w:val="28"/>
          <w:szCs w:val="28"/>
        </w:rPr>
        <w:t>По полученным в п. 1, 4, 6 и 7 данным  рассчитывают интенсивность отк</w:t>
      </w:r>
      <w:r w:rsidRPr="000A28A3">
        <w:rPr>
          <w:color w:val="000000"/>
          <w:sz w:val="28"/>
          <w:szCs w:val="28"/>
        </w:rPr>
        <w:t>а</w:t>
      </w:r>
      <w:r w:rsidRPr="000A28A3">
        <w:rPr>
          <w:color w:val="000000"/>
          <w:sz w:val="28"/>
          <w:szCs w:val="28"/>
        </w:rPr>
        <w:t xml:space="preserve">зов </w:t>
      </w:r>
      <w:r>
        <w:rPr>
          <w:noProof/>
          <w:sz w:val="28"/>
          <w:szCs w:val="28"/>
        </w:rPr>
        <w:drawing>
          <wp:inline distT="0" distB="0" distL="0" distR="0">
            <wp:extent cx="192405" cy="23114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" cy="23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28A3">
        <w:rPr>
          <w:color w:val="000000"/>
          <w:sz w:val="28"/>
          <w:szCs w:val="28"/>
        </w:rPr>
        <w:t xml:space="preserve"> ИМС.</w:t>
      </w:r>
    </w:p>
    <w:p w:rsidR="00B67181" w:rsidRPr="000A28A3" w:rsidRDefault="00B67181" w:rsidP="00B67181">
      <w:pPr>
        <w:pStyle w:val="a5"/>
        <w:ind w:firstLine="567"/>
        <w:jc w:val="both"/>
        <w:rPr>
          <w:color w:val="000000"/>
          <w:sz w:val="28"/>
          <w:szCs w:val="28"/>
        </w:rPr>
      </w:pPr>
      <w:r w:rsidRPr="000A28A3">
        <w:rPr>
          <w:color w:val="000000"/>
          <w:sz w:val="28"/>
          <w:szCs w:val="28"/>
        </w:rPr>
        <w:t xml:space="preserve">Для заданного времени </w:t>
      </w:r>
      <w:r w:rsidRPr="000A28A3">
        <w:rPr>
          <w:color w:val="000000"/>
          <w:sz w:val="28"/>
          <w:szCs w:val="28"/>
          <w:lang w:val="en-US"/>
        </w:rPr>
        <w:t>t</w:t>
      </w:r>
      <w:r w:rsidRPr="000A28A3">
        <w:rPr>
          <w:color w:val="000000"/>
          <w:sz w:val="28"/>
          <w:szCs w:val="28"/>
        </w:rPr>
        <w:t xml:space="preserve"> рассчитывают вероятность безотказной работы ИМС</w:t>
      </w:r>
    </w:p>
    <w:tbl>
      <w:tblPr>
        <w:tblW w:w="4192" w:type="pct"/>
        <w:jc w:val="center"/>
        <w:tblInd w:w="588" w:type="dxa"/>
        <w:tblLook w:val="01E0"/>
      </w:tblPr>
      <w:tblGrid>
        <w:gridCol w:w="6947"/>
        <w:gridCol w:w="1077"/>
      </w:tblGrid>
      <w:tr w:rsidR="00B67181" w:rsidRPr="000A28A3" w:rsidTr="00C54BB8">
        <w:trPr>
          <w:jc w:val="center"/>
        </w:trPr>
        <w:tc>
          <w:tcPr>
            <w:tcW w:w="4329" w:type="pct"/>
            <w:vAlign w:val="center"/>
          </w:tcPr>
          <w:p w:rsidR="00B67181" w:rsidRDefault="00B67181" w:rsidP="00C54BB8">
            <w:pPr>
              <w:pStyle w:val="a5"/>
              <w:ind w:firstLine="567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289685" cy="26924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685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7181" w:rsidRDefault="00B67181" w:rsidP="00C54BB8">
            <w:pPr>
              <w:pStyle w:val="a5"/>
              <w:ind w:firstLine="567"/>
              <w:jc w:val="both"/>
              <w:rPr>
                <w:sz w:val="28"/>
                <w:szCs w:val="28"/>
              </w:rPr>
            </w:pPr>
          </w:p>
          <w:p w:rsidR="00B67181" w:rsidRPr="00F256E2" w:rsidRDefault="00B67181" w:rsidP="00C54BB8">
            <w:pPr>
              <w:pStyle w:val="a5"/>
              <w:ind w:firstLine="567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671" w:type="pct"/>
            <w:vAlign w:val="center"/>
          </w:tcPr>
          <w:p w:rsidR="00B67181" w:rsidRPr="000A28A3" w:rsidRDefault="00B67181" w:rsidP="00C54BB8">
            <w:pPr>
              <w:pStyle w:val="a5"/>
              <w:ind w:firstLine="567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F7145A" w:rsidRPr="00B67181" w:rsidRDefault="00F7145A" w:rsidP="00B67181"/>
    <w:sectPr w:rsidR="00F7145A" w:rsidRPr="00B67181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684B50"/>
    <w:rsid w:val="00810FA3"/>
    <w:rsid w:val="00AF4743"/>
    <w:rsid w:val="00B67181"/>
    <w:rsid w:val="00F71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67181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6718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 Spacing"/>
    <w:uiPriority w:val="1"/>
    <w:qFormat/>
    <w:rsid w:val="00B671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671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1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34" Type="http://schemas.openxmlformats.org/officeDocument/2006/relationships/image" Target="media/image31.wmf"/><Relationship Id="rId42" Type="http://schemas.openxmlformats.org/officeDocument/2006/relationships/fontTable" Target="fontTable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41" Type="http://schemas.openxmlformats.org/officeDocument/2006/relationships/image" Target="media/image38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image" Target="media/image37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2015-09-15T09:47:00Z</dcterms:created>
  <dcterms:modified xsi:type="dcterms:W3CDTF">2015-09-15T10:13:00Z</dcterms:modified>
</cp:coreProperties>
</file>